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86" w:rsidRDefault="00EA73B4">
      <w:r>
        <w:rPr>
          <w:rFonts w:hint="eastAsia"/>
        </w:rPr>
        <w:t>南豐國小公共藝術</w:t>
      </w:r>
    </w:p>
    <w:tbl>
      <w:tblPr>
        <w:tblW w:w="8879" w:type="dxa"/>
        <w:tblLayout w:type="fixed"/>
        <w:tblCellMar>
          <w:left w:w="10" w:type="dxa"/>
          <w:right w:w="10" w:type="dxa"/>
        </w:tblCellMar>
        <w:tblLook w:val="0000" w:firstRow="0" w:lastRow="0" w:firstColumn="0" w:lastColumn="0" w:noHBand="0" w:noVBand="0"/>
      </w:tblPr>
      <w:tblGrid>
        <w:gridCol w:w="2628"/>
        <w:gridCol w:w="102"/>
        <w:gridCol w:w="768"/>
        <w:gridCol w:w="708"/>
        <w:gridCol w:w="1597"/>
        <w:gridCol w:w="349"/>
        <w:gridCol w:w="972"/>
        <w:gridCol w:w="1755"/>
      </w:tblGrid>
      <w:tr w:rsidR="00EA73B4" w:rsidTr="00EA73B4">
        <w:trPr>
          <w:cantSplit/>
          <w:trHeight w:val="914"/>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設置案</w:t>
            </w:r>
            <w:proofErr w:type="gramStart"/>
            <w:r>
              <w:rPr>
                <w:rFonts w:ascii="新細明體" w:hAnsi="新細明體"/>
                <w:b/>
              </w:rPr>
              <w:t>案</w:t>
            </w:r>
            <w:proofErr w:type="gramEnd"/>
            <w:r>
              <w:rPr>
                <w:rFonts w:ascii="新細明體" w:hAnsi="新細明體"/>
                <w:b/>
              </w:rPr>
              <w:t>名</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Pr>
                <w:rFonts w:ascii="新細明體" w:hAnsi="新細明體"/>
              </w:rPr>
              <w:t>中文</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Pr>
                <w:rFonts w:ascii="標楷體" w:eastAsia="標楷體" w:hAnsi="標楷體" w:hint="eastAsia"/>
                <w:bCs/>
                <w:color w:val="000000"/>
              </w:rPr>
              <w:t>快樂學習翩翩起舞</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Pr>
                <w:rFonts w:ascii="新細明體" w:hAnsi="新細明體"/>
              </w:rPr>
              <w:t>英譯</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A73B4" w:rsidRDefault="00EA73B4" w:rsidP="00FA5DA5">
            <w:pPr>
              <w:adjustRightInd w:val="0"/>
              <w:snapToGrid w:val="0"/>
              <w:spacing w:line="300" w:lineRule="auto"/>
              <w:jc w:val="center"/>
              <w:rPr>
                <w:rFonts w:eastAsia="標楷體"/>
              </w:rPr>
            </w:pPr>
            <w:r w:rsidRPr="006D16C3">
              <w:rPr>
                <w:rFonts w:eastAsia="標楷體"/>
              </w:rPr>
              <w:t xml:space="preserve">(Happy Learning) </w:t>
            </w:r>
          </w:p>
          <w:p w:rsidR="00EA73B4" w:rsidRDefault="00EA73B4" w:rsidP="00FA5DA5">
            <w:pPr>
              <w:pStyle w:val="Textbodyuser"/>
              <w:snapToGrid w:val="0"/>
              <w:spacing w:line="276" w:lineRule="auto"/>
              <w:jc w:val="center"/>
              <w:rPr>
                <w:rFonts w:ascii="新細明體" w:hAnsi="新細明體"/>
              </w:rPr>
            </w:pPr>
            <w:r w:rsidRPr="006D16C3">
              <w:rPr>
                <w:rFonts w:eastAsia="標楷體"/>
              </w:rPr>
              <w:t>Dancing in a Whirl of Color</w:t>
            </w:r>
          </w:p>
        </w:tc>
      </w:tr>
      <w:tr w:rsidR="00EA73B4" w:rsidTr="00EA73B4">
        <w:trPr>
          <w:cantSplit/>
          <w:trHeight w:val="854"/>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公共藝術設置案總經費</w:t>
            </w:r>
          </w:p>
          <w:p w:rsidR="00EA73B4" w:rsidRDefault="00EA73B4" w:rsidP="00FA5DA5">
            <w:pPr>
              <w:pStyle w:val="Textbodyuser"/>
              <w:snapToGrid w:val="0"/>
              <w:spacing w:line="276" w:lineRule="auto"/>
              <w:jc w:val="center"/>
            </w:pPr>
            <w:proofErr w:type="gramStart"/>
            <w:r>
              <w:rPr>
                <w:rFonts w:ascii="標楷體" w:eastAsia="標楷體" w:hAnsi="標楷體"/>
                <w:sz w:val="21"/>
                <w:szCs w:val="21"/>
              </w:rPr>
              <w:t>（</w:t>
            </w:r>
            <w:proofErr w:type="gramEnd"/>
            <w:r>
              <w:rPr>
                <w:rFonts w:ascii="新細明體" w:hAnsi="新細明體"/>
                <w:sz w:val="21"/>
                <w:szCs w:val="21"/>
              </w:rPr>
              <w:t>含行政及民眾參與計畫費用</w:t>
            </w:r>
            <w:r>
              <w:rPr>
                <w:rFonts w:ascii="標楷體" w:eastAsia="標楷體" w:hAnsi="標楷體"/>
                <w:sz w:val="21"/>
                <w:szCs w:val="21"/>
              </w:rPr>
              <w:t>)</w:t>
            </w:r>
          </w:p>
        </w:tc>
        <w:tc>
          <w:tcPr>
            <w:tcW w:w="61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pPr>
            <w:r>
              <w:rPr>
                <w:rFonts w:ascii="新細明體" w:hAnsi="新細明體"/>
              </w:rPr>
              <w:t xml:space="preserve"> </w:t>
            </w:r>
            <w:r>
              <w:rPr>
                <w:rFonts w:ascii="新細明體" w:hAnsi="新細明體" w:hint="eastAsia"/>
              </w:rPr>
              <w:t>431</w:t>
            </w:r>
            <w:r>
              <w:rPr>
                <w:rFonts w:ascii="新細明體" w:hAnsi="新細明體"/>
              </w:rPr>
              <w:t>,</w:t>
            </w:r>
            <w:r>
              <w:rPr>
                <w:rFonts w:ascii="新細明體" w:hAnsi="新細明體" w:hint="eastAsia"/>
              </w:rPr>
              <w:t>800</w:t>
            </w:r>
            <w:r>
              <w:rPr>
                <w:rFonts w:ascii="新細明體" w:hAnsi="新細明體"/>
              </w:rPr>
              <w:t xml:space="preserve"> 元</w:t>
            </w:r>
            <w:r>
              <w:rPr>
                <w:rFonts w:ascii="標楷體" w:eastAsia="標楷體" w:hAnsi="標楷體"/>
                <w:sz w:val="21"/>
                <w:szCs w:val="21"/>
              </w:rPr>
              <w:t>（</w:t>
            </w:r>
            <w:r>
              <w:rPr>
                <w:rFonts w:ascii="新細明體" w:hAnsi="新細明體"/>
                <w:sz w:val="21"/>
                <w:szCs w:val="21"/>
              </w:rPr>
              <w:t>請以阿拉伯數字填寫</w:t>
            </w:r>
            <w:r>
              <w:rPr>
                <w:rFonts w:ascii="標楷體" w:eastAsia="標楷體" w:hAnsi="標楷體"/>
                <w:sz w:val="21"/>
                <w:szCs w:val="21"/>
              </w:rPr>
              <w:t>）</w:t>
            </w:r>
          </w:p>
        </w:tc>
      </w:tr>
      <w:tr w:rsidR="00EA73B4" w:rsidTr="00EA73B4">
        <w:trPr>
          <w:cantSplit/>
          <w:trHeight w:val="850"/>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策劃理念</w:t>
            </w:r>
            <w:bookmarkStart w:id="0" w:name="_GoBack"/>
            <w:bookmarkEnd w:id="0"/>
          </w:p>
        </w:tc>
        <w:tc>
          <w:tcPr>
            <w:tcW w:w="61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Pr="00560802" w:rsidRDefault="00EA73B4" w:rsidP="00FA5DA5">
            <w:pPr>
              <w:rPr>
                <w:rFonts w:ascii="標楷體" w:eastAsia="標楷體" w:hAnsi="標楷體"/>
                <w:szCs w:val="24"/>
              </w:rPr>
            </w:pPr>
            <w:r w:rsidRPr="00560802">
              <w:rPr>
                <w:rFonts w:ascii="標楷體" w:eastAsia="標楷體" w:hAnsi="標楷體" w:hint="eastAsia"/>
                <w:szCs w:val="24"/>
              </w:rPr>
              <w:t>南豐村豐富的生態環境造就了多元的物種，結合人文特色與自然環境，成為現在的綠地寶藏也將南豐國小共構成一所生態學校，提供給孩子學習更多元化。</w:t>
            </w:r>
          </w:p>
          <w:p w:rsidR="00EA73B4" w:rsidRPr="00560802" w:rsidRDefault="00EA73B4" w:rsidP="00FA5DA5">
            <w:pPr>
              <w:rPr>
                <w:rFonts w:ascii="標楷體" w:eastAsia="標楷體" w:hAnsi="標楷體"/>
                <w:szCs w:val="24"/>
              </w:rPr>
            </w:pPr>
            <w:r w:rsidRPr="00560802">
              <w:rPr>
                <w:rFonts w:ascii="標楷體" w:eastAsia="標楷體" w:hAnsi="標楷體" w:hint="eastAsia"/>
                <w:szCs w:val="24"/>
              </w:rPr>
              <w:t>在設計中，學童追逐著蝴蝶輕快地跳起舞來，經由流暢的線條，</w:t>
            </w:r>
            <w:proofErr w:type="gramStart"/>
            <w:r w:rsidRPr="00560802">
              <w:rPr>
                <w:rFonts w:ascii="標楷體" w:eastAsia="標楷體" w:hAnsi="標楷體" w:hint="eastAsia"/>
                <w:szCs w:val="24"/>
              </w:rPr>
              <w:t>刻劃出祖靈</w:t>
            </w:r>
            <w:proofErr w:type="gramEnd"/>
            <w:r w:rsidRPr="00560802">
              <w:rPr>
                <w:rFonts w:ascii="標楷體" w:eastAsia="標楷體" w:hAnsi="標楷體" w:hint="eastAsia"/>
                <w:szCs w:val="24"/>
              </w:rPr>
              <w:t>的祝福，是飛翔、流水、秋楓，由不鏽鋼鐵搭配雷射切割的點綴，結合鑲嵌玻璃於光線下的色彩變化，讓學子們能在自然生態豐富的環抱中快樂學習、歡樂成長。</w:t>
            </w:r>
          </w:p>
        </w:tc>
      </w:tr>
      <w:tr w:rsidR="00EA73B4" w:rsidTr="00EA73B4">
        <w:trPr>
          <w:cantSplit/>
          <w:trHeight w:val="824"/>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b/>
              </w:rPr>
            </w:pPr>
            <w:r>
              <w:rPr>
                <w:rFonts w:ascii="新細明體" w:hAnsi="新細明體"/>
                <w:b/>
              </w:rPr>
              <w:t>作品名稱</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rPr>
            </w:pPr>
            <w:r>
              <w:rPr>
                <w:rFonts w:ascii="新細明體" w:hAnsi="新細明體"/>
              </w:rPr>
              <w:t>中文</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both"/>
              <w:rPr>
                <w:rFonts w:ascii="新細明體" w:hAnsi="新細明體"/>
              </w:rPr>
            </w:pPr>
            <w:r>
              <w:rPr>
                <w:rFonts w:ascii="標楷體" w:eastAsia="標楷體" w:hAnsi="標楷體" w:hint="eastAsia"/>
                <w:bCs/>
                <w:color w:val="000000"/>
              </w:rPr>
              <w:t>快樂學習翩翩起舞</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rPr>
            </w:pPr>
            <w:r>
              <w:rPr>
                <w:rFonts w:ascii="新細明體" w:hAnsi="新細明體"/>
              </w:rPr>
              <w:t>英譯</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Pr="006F638B" w:rsidRDefault="00EA73B4" w:rsidP="00FA5DA5">
            <w:pPr>
              <w:pStyle w:val="Textbodyuser"/>
              <w:snapToGrid w:val="0"/>
              <w:spacing w:line="312" w:lineRule="auto"/>
              <w:jc w:val="both"/>
              <w:rPr>
                <w:rFonts w:ascii="新細明體" w:hAnsi="新細明體"/>
              </w:rPr>
            </w:pPr>
            <w:r w:rsidRPr="006F638B">
              <w:rPr>
                <w:rFonts w:ascii="新細明體" w:hAnsi="新細明體"/>
              </w:rPr>
              <w:t xml:space="preserve">(Happy Learning) </w:t>
            </w:r>
          </w:p>
          <w:p w:rsidR="00EA73B4" w:rsidRPr="006F638B" w:rsidRDefault="00EA73B4" w:rsidP="00FA5DA5">
            <w:pPr>
              <w:pStyle w:val="Textbodyuser"/>
              <w:snapToGrid w:val="0"/>
              <w:spacing w:line="312" w:lineRule="auto"/>
              <w:jc w:val="both"/>
              <w:rPr>
                <w:rFonts w:ascii="新細明體" w:hAnsi="新細明體"/>
                <w:color w:val="0000FF"/>
              </w:rPr>
            </w:pPr>
            <w:r w:rsidRPr="006F638B">
              <w:rPr>
                <w:rFonts w:ascii="新細明體" w:hAnsi="新細明體"/>
              </w:rPr>
              <w:t>Dancing in a Whirl of Color</w:t>
            </w:r>
          </w:p>
        </w:tc>
      </w:tr>
      <w:tr w:rsidR="00EA73B4" w:rsidTr="00EA73B4">
        <w:trPr>
          <w:trHeight w:val="704"/>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b/>
              </w:rPr>
            </w:pPr>
            <w:r>
              <w:rPr>
                <w:rFonts w:ascii="新細明體" w:hAnsi="新細明體"/>
                <w:b/>
              </w:rPr>
              <w:t>創作者</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rPr>
            </w:pPr>
            <w:r>
              <w:rPr>
                <w:rFonts w:ascii="新細明體" w:hAnsi="新細明體"/>
              </w:rPr>
              <w:t>中文</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both"/>
              <w:rPr>
                <w:rFonts w:ascii="新細明體" w:hAnsi="新細明體"/>
              </w:rPr>
            </w:pPr>
            <w:r w:rsidRPr="00E570EA">
              <w:rPr>
                <w:rFonts w:ascii="標楷體" w:eastAsia="標楷體" w:hAnsi="標楷體" w:hint="eastAsia"/>
              </w:rPr>
              <w:t>林芳仕</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rPr>
            </w:pPr>
            <w:r>
              <w:rPr>
                <w:rFonts w:ascii="新細明體" w:hAnsi="新細明體"/>
              </w:rPr>
              <w:t>英譯</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Pr="006F638B" w:rsidRDefault="00EA73B4" w:rsidP="00FA5DA5">
            <w:pPr>
              <w:pStyle w:val="Textbodyuser"/>
              <w:snapToGrid w:val="0"/>
              <w:spacing w:line="312" w:lineRule="auto"/>
              <w:jc w:val="both"/>
              <w:rPr>
                <w:rFonts w:ascii="新細明體" w:hAnsi="新細明體"/>
                <w:color w:val="0000FF"/>
              </w:rPr>
            </w:pPr>
            <w:r w:rsidRPr="00E216F4">
              <w:rPr>
                <w:rFonts w:eastAsia="標楷體"/>
                <w:kern w:val="0"/>
              </w:rPr>
              <w:t>Fang Shin Lin</w:t>
            </w:r>
          </w:p>
        </w:tc>
      </w:tr>
      <w:tr w:rsidR="00EA73B4" w:rsidTr="00EA73B4">
        <w:trPr>
          <w:cantSplit/>
          <w:trHeight w:val="822"/>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jc w:val="center"/>
              <w:rPr>
                <w:rFonts w:ascii="新細明體" w:hAnsi="新細明體"/>
                <w:b/>
              </w:rPr>
            </w:pPr>
            <w:r>
              <w:rPr>
                <w:rFonts w:ascii="新細明體" w:hAnsi="新細明體"/>
                <w:b/>
              </w:rPr>
              <w:t>作品型式</w:t>
            </w:r>
          </w:p>
        </w:tc>
        <w:tc>
          <w:tcPr>
            <w:tcW w:w="61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jc w:val="both"/>
              <w:rPr>
                <w:rFonts w:ascii="新細明體" w:hAnsi="新細明體"/>
              </w:rPr>
            </w:pPr>
            <w:r>
              <w:rPr>
                <w:rFonts w:ascii="標楷體" w:eastAsia="標楷體" w:hAnsi="標楷體" w:hint="eastAsia"/>
              </w:rPr>
              <w:t>■</w:t>
            </w:r>
            <w:r>
              <w:rPr>
                <w:rFonts w:ascii="新細明體" w:hAnsi="新細明體"/>
              </w:rPr>
              <w:t xml:space="preserve">1.常設型作品　　　</w:t>
            </w:r>
          </w:p>
          <w:p w:rsidR="00EA73B4" w:rsidRDefault="00EA73B4" w:rsidP="00FA5DA5">
            <w:pPr>
              <w:pStyle w:val="Textbodyuser"/>
              <w:jc w:val="both"/>
              <w:rPr>
                <w:kern w:val="0"/>
                <w:sz w:val="20"/>
                <w:szCs w:val="20"/>
              </w:rPr>
            </w:pPr>
            <w:r>
              <w:rPr>
                <w:rFonts w:ascii="新細明體" w:hAnsi="新細明體"/>
              </w:rPr>
              <w:t>□2.臨時性作品（□ 租賃作品共</w:t>
            </w:r>
            <w:proofErr w:type="gramStart"/>
            <w:r>
              <w:rPr>
                <w:rFonts w:ascii="新細明體" w:hAnsi="新細明體"/>
              </w:rPr>
              <w:t>＿</w:t>
            </w:r>
            <w:proofErr w:type="gramEnd"/>
            <w:r>
              <w:rPr>
                <w:rFonts w:ascii="新細明體" w:hAnsi="新細明體"/>
              </w:rPr>
              <w:t>件）</w:t>
            </w:r>
          </w:p>
          <w:p w:rsidR="00EA73B4" w:rsidRPr="0010528D" w:rsidRDefault="00EA73B4" w:rsidP="00FA5DA5"/>
          <w:p w:rsidR="00EA73B4" w:rsidRPr="0010528D" w:rsidRDefault="00EA73B4" w:rsidP="00FA5DA5"/>
        </w:tc>
      </w:tr>
      <w:tr w:rsidR="00EA73B4" w:rsidTr="00EA73B4">
        <w:trPr>
          <w:cantSplit/>
          <w:trHeight w:val="1561"/>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設置地址</w:t>
            </w:r>
          </w:p>
        </w:tc>
        <w:tc>
          <w:tcPr>
            <w:tcW w:w="61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A73B4" w:rsidRPr="00746B26" w:rsidRDefault="00EA73B4" w:rsidP="00FA5DA5">
            <w:pPr>
              <w:pStyle w:val="Textbodyuser"/>
              <w:snapToGrid w:val="0"/>
              <w:spacing w:before="108" w:line="276" w:lineRule="auto"/>
            </w:pPr>
            <w:r w:rsidRPr="00746B26">
              <w:rPr>
                <w:rFonts w:ascii="標楷體" w:eastAsia="標楷體" w:hAnsi="標楷體"/>
              </w:rPr>
              <w:t>（</w:t>
            </w:r>
            <w:r w:rsidRPr="00746B26">
              <w:rPr>
                <w:rFonts w:ascii="新細明體" w:hAnsi="新細明體"/>
              </w:rPr>
              <w:t>請填寫詳細地址，含郵遞區號、門牌號碼等</w:t>
            </w:r>
            <w:r w:rsidRPr="00746B26">
              <w:rPr>
                <w:rFonts w:ascii="標楷體" w:eastAsia="標楷體" w:hAnsi="標楷體"/>
              </w:rPr>
              <w:t>）</w:t>
            </w:r>
          </w:p>
          <w:p w:rsidR="00EA73B4" w:rsidRPr="00746B26" w:rsidRDefault="00EA73B4" w:rsidP="00FA5DA5">
            <w:pPr>
              <w:pStyle w:val="Textbodyuser"/>
              <w:snapToGrid w:val="0"/>
              <w:spacing w:line="276" w:lineRule="auto"/>
              <w:rPr>
                <w:rFonts w:ascii="新細明體" w:hAnsi="新細明體"/>
              </w:rPr>
            </w:pPr>
            <w:r w:rsidRPr="00746B26">
              <w:rPr>
                <w:rFonts w:ascii="新細明體" w:hAnsi="新細明體"/>
              </w:rPr>
              <w:t>546-61</w:t>
            </w:r>
          </w:p>
          <w:p w:rsidR="00EA73B4" w:rsidRPr="00746B26" w:rsidRDefault="00EA73B4" w:rsidP="00FA5DA5">
            <w:pPr>
              <w:pStyle w:val="Textbodyuser"/>
              <w:snapToGrid w:val="0"/>
              <w:spacing w:line="276" w:lineRule="auto"/>
              <w:rPr>
                <w:rFonts w:ascii="新細明體" w:hAnsi="新細明體"/>
              </w:rPr>
            </w:pPr>
            <w:r w:rsidRPr="00746B26">
              <w:rPr>
                <w:rFonts w:ascii="新細明體" w:hAnsi="新細明體" w:hint="eastAsia"/>
              </w:rPr>
              <w:t>南投縣仁愛鄉南豐村楓林路3號</w:t>
            </w:r>
          </w:p>
          <w:p w:rsidR="00EA73B4" w:rsidRPr="00746B26" w:rsidRDefault="00EA73B4" w:rsidP="00FA5DA5">
            <w:pPr>
              <w:rPr>
                <w:szCs w:val="24"/>
              </w:rPr>
            </w:pPr>
          </w:p>
        </w:tc>
      </w:tr>
      <w:tr w:rsidR="00EA73B4" w:rsidTr="00EA73B4">
        <w:trPr>
          <w:cantSplit/>
          <w:trHeight w:val="555"/>
        </w:trPr>
        <w:tc>
          <w:tcPr>
            <w:tcW w:w="262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創作年代</w:t>
            </w:r>
          </w:p>
        </w:tc>
        <w:tc>
          <w:tcPr>
            <w:tcW w:w="6251" w:type="dxa"/>
            <w:gridSpan w:val="7"/>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both"/>
            </w:pPr>
            <w:r>
              <w:rPr>
                <w:rFonts w:ascii="新細明體" w:hAnsi="新細明體"/>
              </w:rPr>
              <w:t>西元</w:t>
            </w:r>
            <w:r>
              <w:rPr>
                <w:rFonts w:ascii="新細明體" w:hAnsi="新細明體"/>
                <w:u w:val="single"/>
              </w:rPr>
              <w:t xml:space="preserve"> </w:t>
            </w:r>
            <w:r>
              <w:rPr>
                <w:rFonts w:ascii="新細明體" w:hAnsi="新細明體" w:hint="eastAsia"/>
                <w:u w:val="single"/>
              </w:rPr>
              <w:t>2022</w:t>
            </w:r>
            <w:r>
              <w:rPr>
                <w:rFonts w:ascii="新細明體" w:hAnsi="新細明體"/>
              </w:rPr>
              <w:t>年</w:t>
            </w:r>
          </w:p>
        </w:tc>
      </w:tr>
      <w:tr w:rsidR="00EA73B4" w:rsidTr="00EA73B4">
        <w:trPr>
          <w:cantSplit/>
          <w:trHeight w:val="615"/>
        </w:trPr>
        <w:tc>
          <w:tcPr>
            <w:tcW w:w="262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作品尺寸</w:t>
            </w:r>
          </w:p>
        </w:tc>
        <w:tc>
          <w:tcPr>
            <w:tcW w:w="6251" w:type="dxa"/>
            <w:gridSpan w:val="7"/>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312" w:lineRule="auto"/>
            </w:pPr>
            <w:proofErr w:type="gramStart"/>
            <w:r>
              <w:rPr>
                <w:rFonts w:ascii="標楷體" w:eastAsia="標楷體" w:hAnsi="標楷體" w:hint="eastAsia"/>
              </w:rPr>
              <w:t>總</w:t>
            </w:r>
            <w:r w:rsidRPr="00E570EA">
              <w:rPr>
                <w:rFonts w:ascii="標楷體" w:eastAsia="標楷體" w:hAnsi="標楷體" w:hint="eastAsia"/>
              </w:rPr>
              <w:t>寬</w:t>
            </w:r>
            <w:proofErr w:type="gramEnd"/>
            <w:r>
              <w:rPr>
                <w:rFonts w:ascii="標楷體" w:eastAsia="標楷體" w:hAnsi="標楷體" w:hint="eastAsia"/>
              </w:rPr>
              <w:t>240</w:t>
            </w:r>
            <w:r w:rsidRPr="00E570EA">
              <w:rPr>
                <w:rFonts w:ascii="標楷體" w:eastAsia="標楷體" w:hAnsi="標楷體" w:hint="eastAsia"/>
              </w:rPr>
              <w:t xml:space="preserve"> * 高</w:t>
            </w:r>
            <w:r>
              <w:rPr>
                <w:rFonts w:ascii="標楷體" w:eastAsia="標楷體" w:hAnsi="標楷體" w:hint="eastAsia"/>
              </w:rPr>
              <w:t>420公分</w:t>
            </w:r>
          </w:p>
        </w:tc>
      </w:tr>
      <w:tr w:rsidR="00EA73B4" w:rsidTr="00EA73B4">
        <w:trPr>
          <w:cantSplit/>
          <w:trHeight w:val="1347"/>
        </w:trPr>
        <w:tc>
          <w:tcPr>
            <w:tcW w:w="262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r>
              <w:rPr>
                <w:rFonts w:ascii="新細明體" w:hAnsi="新細明體"/>
                <w:b/>
              </w:rPr>
              <w:t>作品材質</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Pr>
                <w:rFonts w:ascii="新細明體" w:hAnsi="新細明體"/>
              </w:rPr>
              <w:t>中文</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Pr="00613D83" w:rsidRDefault="00EA73B4" w:rsidP="00FA5DA5">
            <w:pPr>
              <w:adjustRightInd w:val="0"/>
              <w:snapToGrid w:val="0"/>
              <w:spacing w:before="60" w:after="60" w:line="312" w:lineRule="auto"/>
              <w:rPr>
                <w:rFonts w:ascii="標楷體" w:eastAsia="標楷體" w:hAnsi="標楷體"/>
                <w:szCs w:val="24"/>
              </w:rPr>
            </w:pPr>
            <w:r w:rsidRPr="00613D83">
              <w:rPr>
                <w:rFonts w:ascii="標楷體" w:eastAsia="標楷體" w:hAnsi="標楷體" w:hint="eastAsia"/>
                <w:szCs w:val="24"/>
              </w:rPr>
              <w:t>作品</w:t>
            </w:r>
            <w:r>
              <w:rPr>
                <w:rFonts w:ascii="標楷體" w:eastAsia="標楷體" w:hAnsi="標楷體" w:hint="eastAsia"/>
                <w:szCs w:val="24"/>
              </w:rPr>
              <w:t>：</w:t>
            </w:r>
            <w:r w:rsidRPr="00613D83">
              <w:rPr>
                <w:rFonts w:ascii="標楷體" w:eastAsia="標楷體" w:hAnsi="標楷體" w:hint="eastAsia"/>
                <w:szCs w:val="24"/>
              </w:rPr>
              <w:t>進口彩色玻璃、不鏽鋼</w:t>
            </w:r>
            <w:r>
              <w:rPr>
                <w:rFonts w:ascii="標楷體" w:eastAsia="標楷體" w:hAnsi="標楷體" w:hint="eastAsia"/>
                <w:szCs w:val="24"/>
              </w:rPr>
              <w:t>。</w:t>
            </w:r>
          </w:p>
          <w:p w:rsidR="00EA73B4" w:rsidRPr="00613D83" w:rsidRDefault="00EA73B4" w:rsidP="00FA5DA5">
            <w:pPr>
              <w:pStyle w:val="Textbodyuser"/>
              <w:snapToGrid w:val="0"/>
              <w:spacing w:line="276" w:lineRule="auto"/>
              <w:rPr>
                <w:rFonts w:ascii="標楷體" w:eastAsia="標楷體" w:hAnsi="標楷體"/>
              </w:rPr>
            </w:pPr>
            <w:r w:rsidRPr="00613D83">
              <w:rPr>
                <w:rFonts w:ascii="標楷體" w:eastAsia="標楷體" w:hAnsi="標楷體" w:hint="eastAsia"/>
              </w:rPr>
              <w:t>作品說明牌</w:t>
            </w:r>
            <w:r>
              <w:rPr>
                <w:rFonts w:ascii="標楷體" w:eastAsia="標楷體" w:hAnsi="標楷體" w:hint="eastAsia"/>
              </w:rPr>
              <w:t>：</w:t>
            </w:r>
            <w:r w:rsidRPr="00613D83">
              <w:rPr>
                <w:rFonts w:ascii="標楷體" w:eastAsia="標楷體" w:hAnsi="標楷體" w:hint="eastAsia"/>
              </w:rPr>
              <w:t>不鏽鋼</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Pr>
                <w:rFonts w:ascii="新細明體" w:hAnsi="新細明體"/>
              </w:rPr>
              <w:t>英譯</w:t>
            </w:r>
          </w:p>
        </w:tc>
        <w:tc>
          <w:tcPr>
            <w:tcW w:w="1753"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rPr>
            </w:pPr>
            <w:r w:rsidRPr="00605FF5">
              <w:rPr>
                <w:rFonts w:ascii="新細明體" w:hAnsi="新細明體"/>
              </w:rPr>
              <w:t xml:space="preserve">Stained </w:t>
            </w:r>
            <w:proofErr w:type="spellStart"/>
            <w:r w:rsidRPr="00605FF5">
              <w:rPr>
                <w:rFonts w:ascii="新細明體" w:hAnsi="新細明體"/>
              </w:rPr>
              <w:t>glass,Stainless</w:t>
            </w:r>
            <w:proofErr w:type="spellEnd"/>
            <w:r w:rsidRPr="00605FF5">
              <w:rPr>
                <w:rFonts w:ascii="新細明體" w:hAnsi="新細明體"/>
              </w:rPr>
              <w:t xml:space="preserve"> steel</w:t>
            </w:r>
          </w:p>
        </w:tc>
      </w:tr>
      <w:tr w:rsidR="00EA73B4" w:rsidTr="00EA73B4">
        <w:trPr>
          <w:cantSplit/>
          <w:trHeight w:val="2191"/>
        </w:trPr>
        <w:tc>
          <w:tcPr>
            <w:tcW w:w="2628"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jc w:val="center"/>
              <w:rPr>
                <w:rFonts w:ascii="新細明體" w:hAnsi="新細明體"/>
                <w:b/>
              </w:rPr>
            </w:pPr>
          </w:p>
          <w:p w:rsidR="00EA73B4" w:rsidRDefault="00EA73B4" w:rsidP="00FA5DA5">
            <w:pPr>
              <w:pStyle w:val="Textbodyuser"/>
              <w:snapToGrid w:val="0"/>
              <w:spacing w:line="276" w:lineRule="auto"/>
              <w:rPr>
                <w:rFonts w:ascii="新細明體" w:hAnsi="新細明體"/>
                <w:b/>
              </w:rPr>
            </w:pPr>
          </w:p>
          <w:p w:rsidR="00EA73B4" w:rsidRDefault="00EA73B4" w:rsidP="00FA5DA5">
            <w:pPr>
              <w:pStyle w:val="Textbodyuser"/>
              <w:snapToGrid w:val="0"/>
              <w:spacing w:line="276" w:lineRule="auto"/>
              <w:jc w:val="center"/>
              <w:rPr>
                <w:rFonts w:ascii="新細明體" w:hAnsi="新細明體"/>
                <w:b/>
              </w:rPr>
            </w:pPr>
            <w:r>
              <w:rPr>
                <w:rFonts w:ascii="新細明體" w:hAnsi="新細明體"/>
                <w:b/>
              </w:rPr>
              <w:t>作品說明中文</w:t>
            </w:r>
          </w:p>
          <w:p w:rsidR="00EA73B4" w:rsidRDefault="00EA73B4" w:rsidP="00FA5DA5">
            <w:pPr>
              <w:pStyle w:val="Textbodyuser"/>
              <w:snapToGrid w:val="0"/>
              <w:spacing w:line="276" w:lineRule="auto"/>
              <w:jc w:val="center"/>
              <w:rPr>
                <w:rFonts w:ascii="新細明體" w:hAnsi="新細明體"/>
                <w:b/>
              </w:rPr>
            </w:pPr>
          </w:p>
          <w:p w:rsidR="00EA73B4" w:rsidRDefault="00EA73B4" w:rsidP="00FA5DA5">
            <w:pPr>
              <w:pStyle w:val="Textbodyuser"/>
              <w:snapToGrid w:val="0"/>
              <w:spacing w:line="276" w:lineRule="auto"/>
              <w:rPr>
                <w:rFonts w:ascii="新細明體" w:hAnsi="新細明體"/>
                <w:b/>
              </w:rPr>
            </w:pPr>
          </w:p>
        </w:tc>
        <w:tc>
          <w:tcPr>
            <w:tcW w:w="6251" w:type="dxa"/>
            <w:gridSpan w:val="7"/>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EA73B4" w:rsidRPr="001628B3" w:rsidRDefault="00EA73B4" w:rsidP="00FA5DA5">
            <w:pPr>
              <w:rPr>
                <w:rFonts w:ascii="標楷體" w:eastAsia="標楷體" w:hAnsi="標楷體"/>
              </w:rPr>
            </w:pPr>
            <w:r w:rsidRPr="001628B3">
              <w:rPr>
                <w:rFonts w:ascii="標楷體" w:eastAsia="標楷體" w:hAnsi="標楷體" w:hint="eastAsia"/>
              </w:rPr>
              <w:t>南豐村豐富的生態環境造就了多元的物種，結合人文特色與自然環境，成為現在的綠地寶藏也將南豐國小共構成一所生態學校，提供給孩子學習更多元化。</w:t>
            </w:r>
          </w:p>
          <w:p w:rsidR="00EA73B4" w:rsidRPr="00613D83" w:rsidRDefault="00EA73B4" w:rsidP="00FA5DA5">
            <w:pPr>
              <w:rPr>
                <w:rFonts w:ascii="標楷體" w:eastAsia="標楷體" w:hAnsi="標楷體"/>
              </w:rPr>
            </w:pPr>
            <w:r w:rsidRPr="001628B3">
              <w:rPr>
                <w:rFonts w:ascii="標楷體" w:eastAsia="標楷體" w:hAnsi="標楷體" w:hint="eastAsia"/>
              </w:rPr>
              <w:t>在設計中，學童追逐著蝴蝶輕快地跳起舞來，經由流暢的線條，</w:t>
            </w:r>
            <w:proofErr w:type="gramStart"/>
            <w:r w:rsidRPr="001628B3">
              <w:rPr>
                <w:rFonts w:ascii="標楷體" w:eastAsia="標楷體" w:hAnsi="標楷體" w:hint="eastAsia"/>
              </w:rPr>
              <w:t>刻劃出祖靈</w:t>
            </w:r>
            <w:proofErr w:type="gramEnd"/>
            <w:r w:rsidRPr="001628B3">
              <w:rPr>
                <w:rFonts w:ascii="標楷體" w:eastAsia="標楷體" w:hAnsi="標楷體" w:hint="eastAsia"/>
              </w:rPr>
              <w:t>的祝福，是飛翔、流水、秋楓，由不鏽鋼鐵搭配雷射切割的點綴，結合鑲嵌玻璃於光線下的色彩變化，讓學子們能在自然生態豐富的環抱中快樂學習、歡樂成長。</w:t>
            </w:r>
          </w:p>
        </w:tc>
      </w:tr>
      <w:tr w:rsidR="00EA73B4" w:rsidTr="00EA73B4">
        <w:trPr>
          <w:cantSplit/>
          <w:trHeight w:val="2118"/>
        </w:trPr>
        <w:tc>
          <w:tcPr>
            <w:tcW w:w="2628" w:type="dxa"/>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A73B4" w:rsidRDefault="00EA73B4" w:rsidP="00FA5DA5">
            <w:pPr>
              <w:pStyle w:val="Textbodyuser"/>
              <w:snapToGrid w:val="0"/>
              <w:spacing w:line="276" w:lineRule="auto"/>
              <w:rPr>
                <w:rFonts w:ascii="新細明體" w:hAnsi="新細明體"/>
                <w:b/>
                <w:color w:val="0000FF"/>
              </w:rPr>
            </w:pPr>
            <w:r>
              <w:rPr>
                <w:rFonts w:ascii="新細明體" w:hAnsi="新細明體"/>
                <w:b/>
                <w:color w:val="0000FF"/>
              </w:rPr>
              <w:t xml:space="preserve">　　　</w:t>
            </w:r>
          </w:p>
          <w:p w:rsidR="00EA73B4" w:rsidRDefault="00EA73B4" w:rsidP="00FA5DA5">
            <w:pPr>
              <w:pStyle w:val="Textbodyuser"/>
              <w:snapToGrid w:val="0"/>
              <w:spacing w:line="276" w:lineRule="auto"/>
              <w:rPr>
                <w:rFonts w:ascii="新細明體" w:hAnsi="新細明體"/>
                <w:b/>
                <w:color w:val="0000FF"/>
              </w:rPr>
            </w:pPr>
          </w:p>
          <w:p w:rsidR="00EA73B4" w:rsidRDefault="00EA73B4" w:rsidP="00FA5DA5">
            <w:pPr>
              <w:pStyle w:val="Textbodyuser"/>
              <w:snapToGrid w:val="0"/>
              <w:spacing w:line="276" w:lineRule="auto"/>
              <w:jc w:val="center"/>
              <w:rPr>
                <w:rFonts w:ascii="新細明體" w:hAnsi="新細明體"/>
                <w:b/>
              </w:rPr>
            </w:pPr>
            <w:r>
              <w:rPr>
                <w:rFonts w:ascii="新細明體" w:hAnsi="新細明體"/>
                <w:b/>
              </w:rPr>
              <w:t>作品說明英文</w:t>
            </w:r>
          </w:p>
          <w:p w:rsidR="00EA73B4" w:rsidRDefault="00EA73B4" w:rsidP="00FA5DA5">
            <w:pPr>
              <w:pStyle w:val="Textbodyuser"/>
              <w:snapToGrid w:val="0"/>
              <w:spacing w:line="276" w:lineRule="auto"/>
              <w:rPr>
                <w:rFonts w:ascii="新細明體" w:hAnsi="新細明體"/>
                <w:b/>
                <w:color w:val="0000FF"/>
              </w:rPr>
            </w:pPr>
          </w:p>
          <w:p w:rsidR="00EA73B4" w:rsidRDefault="00EA73B4" w:rsidP="00FA5DA5">
            <w:pPr>
              <w:pStyle w:val="Textbodyuser"/>
              <w:snapToGrid w:val="0"/>
              <w:spacing w:line="276" w:lineRule="auto"/>
              <w:rPr>
                <w:rFonts w:ascii="新細明體" w:hAnsi="新細明體"/>
                <w:b/>
                <w:color w:val="0000FF"/>
              </w:rPr>
            </w:pPr>
          </w:p>
        </w:tc>
        <w:tc>
          <w:tcPr>
            <w:tcW w:w="6251" w:type="dxa"/>
            <w:gridSpan w:val="7"/>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EA73B4" w:rsidRPr="001628B3" w:rsidRDefault="00EA73B4" w:rsidP="00FA5DA5">
            <w:pPr>
              <w:widowControl/>
              <w:rPr>
                <w:bCs/>
                <w:shd w:val="clear" w:color="auto" w:fill="FFFFFF"/>
              </w:rPr>
            </w:pPr>
            <w:r w:rsidRPr="001628B3">
              <w:rPr>
                <w:bCs/>
                <w:shd w:val="clear" w:color="auto" w:fill="FFFFFF"/>
              </w:rPr>
              <w:t>Nan Feng village, where Nan Feng Elementary School is situated, is known for its divers</w:t>
            </w:r>
            <w:r>
              <w:rPr>
                <w:bCs/>
                <w:shd w:val="clear" w:color="auto" w:fill="FFFFFF"/>
              </w:rPr>
              <w:t xml:space="preserve">e ecosystem, rich in flora and </w:t>
            </w:r>
            <w:r w:rsidRPr="001628B3">
              <w:rPr>
                <w:bCs/>
                <w:shd w:val="clear" w:color="auto" w:fill="FFFFFF"/>
              </w:rPr>
              <w:t>fauna. Naturally, this verdant paradise helps the school build a unique program fully tapping into its natural resources.</w:t>
            </w:r>
          </w:p>
          <w:p w:rsidR="00EA73B4" w:rsidRDefault="00EA73B4" w:rsidP="00FA5DA5">
            <w:pPr>
              <w:pStyle w:val="Textbodyuser"/>
              <w:snapToGrid w:val="0"/>
              <w:spacing w:line="276" w:lineRule="auto"/>
              <w:rPr>
                <w:rFonts w:ascii="新細明體" w:hAnsi="新細明體"/>
                <w:color w:val="0000FF"/>
              </w:rPr>
            </w:pPr>
            <w:r w:rsidRPr="001628B3">
              <w:rPr>
                <w:bCs/>
                <w:shd w:val="clear" w:color="auto" w:fill="FFFFFF"/>
              </w:rPr>
              <w:t xml:space="preserve">Paying homage to the local culture and environment, this stained glass artwork conveys </w:t>
            </w:r>
            <w:r>
              <w:rPr>
                <w:bCs/>
                <w:shd w:val="clear" w:color="auto" w:fill="FFFFFF"/>
              </w:rPr>
              <w:t xml:space="preserve">a sense of vivacity, showing a </w:t>
            </w:r>
            <w:r w:rsidRPr="001628B3">
              <w:rPr>
                <w:bCs/>
                <w:shd w:val="clear" w:color="auto" w:fill="FFFFFF"/>
              </w:rPr>
              <w:t>dancing school child, clad in the aboriginal clothing, with butterflies, maple leaves, and river motifs whirling by. Those visual images, highlighted by its fluid lines, the precision cut, and the magnificent hues shown through the light, further enrich the campus, already abundant in biodiversity and perfect for students’ growth and learning.</w:t>
            </w:r>
          </w:p>
        </w:tc>
      </w:tr>
    </w:tbl>
    <w:p w:rsidR="00EA73B4" w:rsidRDefault="00EA73B4">
      <w:pPr>
        <w:rPr>
          <w:rFonts w:hint="eastAsia"/>
        </w:rPr>
      </w:pPr>
    </w:p>
    <w:sectPr w:rsidR="00EA73B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B4"/>
    <w:rsid w:val="00E01686"/>
    <w:rsid w:val="00EA7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3104"/>
  <w15:chartTrackingRefBased/>
  <w15:docId w15:val="{D1DD7E2A-B803-469C-9708-453FF2EA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user">
    <w:name w:val="Text body (user)"/>
    <w:rsid w:val="00EA73B4"/>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2023-02-20T04:58:00Z</dcterms:created>
  <dcterms:modified xsi:type="dcterms:W3CDTF">2023-02-20T05:00:00Z</dcterms:modified>
</cp:coreProperties>
</file>